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Ciudad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México, 01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junio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382078" cy="1404369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078" cy="14043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Asunto: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Solicitud de adición de logotipo de Aqueleather y promoción del candidato a Rey Vaquero Mexico 2024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Reunión Leather LRVP + MX  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Tras una revisión y análisis por parte del Staff de Aqueleather, emitimos la siguiente respuesta a la solicitud sobre la incorporación del logotipo de Aqueleather y promoción de su candidato a “Rey Vaquero México 2024”: se tomó la decisión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 participar </w:t>
      </w:r>
      <w:r w:rsidDel="00000000" w:rsidR="00000000" w:rsidRPr="00000000">
        <w:rPr>
          <w:rFonts w:ascii="Arial" w:cs="Arial" w:eastAsia="Arial" w:hAnsi="Arial"/>
          <w:rtl w:val="0"/>
        </w:rPr>
        <w:t xml:space="preserve">en la difusión, promoción e impulso del  evento y candidato antes mencionados.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Consideramos importante comunicarles las razones por las cuales se llegó a esta decisión, estas las puntualizamos a continuación: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Analizamos y concluimos que los objetivos del evento no están alineados a los objetivos, valores, misión y visión del grupo Aqueleather, puesto que dentro de nuestros principios se busca el bienestar de la comunidad a nivel general,  sin ningún tipo de beneficio ni fines de lucro.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Consideramos que el evento y sus grupos gestionantes limitan, excluyen y discriminan a las personas ajenas a los fetiches y características del evento.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base en el trabajo, trayectoria e interacción del candidato con otras agrupaciones, lamentamos detectar incongruencias en su desempeño real y las necesidades actuales de las comunidades, tanto fetichistas o no.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Anteriormente, en el grupo de “Concilio de comunidades Kinkster México” se acordó que se usaría dicho canal de comunicación para la difusión y apoyo de los eventos. Observamos que su solicitud solo fue dirigida a un miembro del Staff,  sin tomar en consideración el quórum del mismo.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Contrastamos su solicitud con la nula difusión y/o apoyo por parte de los grupos gestionantes del evento a las actividades de Aqueleather. En consecuencia, se percibe una total indiferencia y apatía en contribuir en la promoción cultural de nuestras actividades hacia la comunidad.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lo anterior, solicitamos no usar nuestro logo o nombre en la difusión y promoción del evento o candidato.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por el momento, agradecemos su atención.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Atentamente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 Aqueleather</w:t>
      </w:r>
    </w:p>
    <w:sectPr>
      <w:pgSz w:h="15840" w:w="12240" w:orient="portrait"/>
      <w:pgMar w:bottom="823.7007874015751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